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Ростехнадзора,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 xml:space="preserve">за </w:t>
      </w:r>
      <w:r w:rsidR="00B7101B">
        <w:rPr>
          <w:b/>
          <w:sz w:val="28"/>
          <w:szCs w:val="28"/>
        </w:rPr>
        <w:t>10</w:t>
      </w:r>
      <w:r w:rsidR="003E469A">
        <w:rPr>
          <w:b/>
          <w:sz w:val="28"/>
          <w:szCs w:val="28"/>
        </w:rPr>
        <w:t xml:space="preserve"> месяцев</w:t>
      </w:r>
      <w:r w:rsidR="00D0282E">
        <w:rPr>
          <w:b/>
          <w:sz w:val="28"/>
          <w:szCs w:val="28"/>
        </w:rPr>
        <w:t xml:space="preserve"> </w:t>
      </w:r>
      <w:r w:rsidRPr="00177C3D">
        <w:rPr>
          <w:b/>
          <w:sz w:val="28"/>
          <w:szCs w:val="28"/>
        </w:rPr>
        <w:t>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  <w:r w:rsidR="00454149">
        <w:rPr>
          <w:b/>
          <w:sz w:val="28"/>
          <w:szCs w:val="28"/>
        </w:rPr>
        <w:t>а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>Анализ несчастных случаев со смертельным исходом, произошедших в поднадзорных Ростехнадзору организациях</w:t>
      </w:r>
    </w:p>
    <w:p w:rsidR="00AE60B5" w:rsidRDefault="00AE60B5" w:rsidP="004761AD">
      <w:pPr>
        <w:pStyle w:val="a4"/>
        <w:tabs>
          <w:tab w:val="left" w:pos="-57"/>
          <w:tab w:val="left" w:pos="709"/>
          <w:tab w:val="left" w:pos="851"/>
        </w:tabs>
        <w:spacing w:before="120" w:after="120" w:line="312" w:lineRule="auto"/>
        <w:ind w:firstLine="709"/>
        <w:rPr>
          <w:sz w:val="28"/>
          <w:szCs w:val="28"/>
        </w:rPr>
      </w:pPr>
      <w:r w:rsidRPr="007D11ED">
        <w:rPr>
          <w:sz w:val="28"/>
          <w:szCs w:val="28"/>
        </w:rPr>
        <w:t xml:space="preserve">За </w:t>
      </w:r>
      <w:r w:rsidR="00DA7DB4">
        <w:rPr>
          <w:sz w:val="28"/>
          <w:szCs w:val="28"/>
        </w:rPr>
        <w:t xml:space="preserve">10 </w:t>
      </w:r>
      <w:r w:rsidR="003E469A" w:rsidRPr="007D11ED">
        <w:rPr>
          <w:sz w:val="28"/>
          <w:szCs w:val="28"/>
        </w:rPr>
        <w:t>месяцев</w:t>
      </w:r>
      <w:r w:rsidR="000E4D36" w:rsidRPr="007D11ED">
        <w:rPr>
          <w:sz w:val="28"/>
          <w:szCs w:val="28"/>
        </w:rPr>
        <w:t xml:space="preserve"> </w:t>
      </w:r>
      <w:r w:rsidR="0062307E"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5</w:t>
      </w:r>
      <w:r w:rsidR="0062307E" w:rsidRPr="007D11ED">
        <w:rPr>
          <w:sz w:val="28"/>
          <w:szCs w:val="28"/>
        </w:rPr>
        <w:t xml:space="preserve"> год</w:t>
      </w:r>
      <w:r w:rsidR="000E4D36" w:rsidRPr="007D11ED">
        <w:rPr>
          <w:sz w:val="28"/>
          <w:szCs w:val="28"/>
        </w:rPr>
        <w:t>а</w:t>
      </w:r>
      <w:r w:rsidRPr="007D11ED">
        <w:rPr>
          <w:sz w:val="28"/>
          <w:szCs w:val="28"/>
        </w:rPr>
        <w:t xml:space="preserve"> произошло </w:t>
      </w:r>
      <w:r w:rsidR="00036DC7">
        <w:rPr>
          <w:sz w:val="28"/>
          <w:szCs w:val="28"/>
        </w:rPr>
        <w:t>2</w:t>
      </w:r>
      <w:r w:rsidR="00AA68C1">
        <w:rPr>
          <w:sz w:val="28"/>
          <w:szCs w:val="28"/>
        </w:rPr>
        <w:t>5</w:t>
      </w:r>
      <w:r w:rsidR="003A2F7F">
        <w:rPr>
          <w:sz w:val="28"/>
          <w:szCs w:val="28"/>
        </w:rPr>
        <w:t xml:space="preserve"> несчастных случаев</w:t>
      </w:r>
      <w:r w:rsidR="0062307E" w:rsidRPr="007D11ED">
        <w:rPr>
          <w:sz w:val="28"/>
          <w:szCs w:val="28"/>
        </w:rPr>
        <w:t xml:space="preserve"> </w:t>
      </w:r>
      <w:r w:rsidR="0088735B">
        <w:rPr>
          <w:sz w:val="28"/>
          <w:szCs w:val="28"/>
        </w:rPr>
        <w:br/>
      </w:r>
      <w:r w:rsidRPr="007D11ED">
        <w:rPr>
          <w:sz w:val="28"/>
          <w:szCs w:val="28"/>
        </w:rPr>
        <w:t>со смертельным исходом (</w:t>
      </w:r>
      <w:r w:rsidR="00036DC7">
        <w:rPr>
          <w:sz w:val="28"/>
          <w:szCs w:val="28"/>
        </w:rPr>
        <w:t>2</w:t>
      </w:r>
      <w:r w:rsidR="00DA7DB4">
        <w:rPr>
          <w:sz w:val="28"/>
          <w:szCs w:val="28"/>
        </w:rPr>
        <w:t>5</w:t>
      </w:r>
      <w:r w:rsidRPr="007D11ED">
        <w:rPr>
          <w:sz w:val="28"/>
          <w:szCs w:val="28"/>
        </w:rPr>
        <w:t xml:space="preserve"> погибших). </w:t>
      </w:r>
      <w:r w:rsidR="00C44451" w:rsidRPr="007D11ED">
        <w:rPr>
          <w:sz w:val="28"/>
          <w:szCs w:val="28"/>
        </w:rPr>
        <w:t xml:space="preserve">За аналогичный период </w:t>
      </w:r>
      <w:r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4</w:t>
      </w:r>
      <w:r w:rsidR="00A95C5A" w:rsidRPr="007D11ED">
        <w:rPr>
          <w:sz w:val="28"/>
          <w:szCs w:val="28"/>
        </w:rPr>
        <w:t xml:space="preserve"> года</w:t>
      </w:r>
      <w:r w:rsidRPr="007D11ED">
        <w:rPr>
          <w:sz w:val="28"/>
          <w:szCs w:val="28"/>
        </w:rPr>
        <w:t xml:space="preserve"> произошло </w:t>
      </w:r>
      <w:r w:rsidR="000F5B02">
        <w:rPr>
          <w:sz w:val="28"/>
          <w:szCs w:val="28"/>
        </w:rPr>
        <w:t>27</w:t>
      </w:r>
      <w:r w:rsidR="00626D80" w:rsidRPr="007D11ED">
        <w:rPr>
          <w:sz w:val="28"/>
          <w:szCs w:val="28"/>
        </w:rPr>
        <w:t xml:space="preserve"> </w:t>
      </w:r>
      <w:r w:rsidR="001A1ADD">
        <w:rPr>
          <w:sz w:val="28"/>
          <w:szCs w:val="28"/>
        </w:rPr>
        <w:t xml:space="preserve">несчастных </w:t>
      </w:r>
      <w:r w:rsidR="00B34C22">
        <w:rPr>
          <w:sz w:val="28"/>
          <w:szCs w:val="28"/>
        </w:rPr>
        <w:t>случаев</w:t>
      </w:r>
      <w:r w:rsidRPr="007D11ED">
        <w:rPr>
          <w:sz w:val="28"/>
          <w:szCs w:val="28"/>
        </w:rPr>
        <w:t xml:space="preserve"> (</w:t>
      </w:r>
      <w:r w:rsidR="000F5B02">
        <w:rPr>
          <w:sz w:val="28"/>
          <w:szCs w:val="28"/>
        </w:rPr>
        <w:t>27</w:t>
      </w:r>
      <w:r w:rsidR="006D1279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>погибших)</w:t>
      </w:r>
      <w:r w:rsidR="00500B1F" w:rsidRPr="007D11ED">
        <w:rPr>
          <w:sz w:val="28"/>
          <w:szCs w:val="28"/>
        </w:rPr>
        <w:t xml:space="preserve"> (рис</w:t>
      </w:r>
      <w:r w:rsidR="00C97E33" w:rsidRPr="007D11ED">
        <w:rPr>
          <w:sz w:val="28"/>
          <w:szCs w:val="28"/>
        </w:rPr>
        <w:t>унок</w:t>
      </w:r>
      <w:r w:rsidR="00500B1F" w:rsidRPr="007D11ED">
        <w:rPr>
          <w:sz w:val="28"/>
          <w:szCs w:val="28"/>
        </w:rPr>
        <w:t xml:space="preserve"> 1)</w:t>
      </w:r>
      <w:r w:rsidRPr="007D11ED">
        <w:rPr>
          <w:sz w:val="28"/>
          <w:szCs w:val="28"/>
        </w:rPr>
        <w:t>.</w:t>
      </w:r>
    </w:p>
    <w:p w:rsidR="0090554C" w:rsidRPr="00F77B23" w:rsidRDefault="00D24F09" w:rsidP="0090554C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14B8955" wp14:editId="2D09A27B">
            <wp:extent cx="6030595" cy="2980707"/>
            <wp:effectExtent l="0" t="0" r="825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0B1F" w:rsidRPr="000E236F" w:rsidRDefault="00493454" w:rsidP="00F91577">
      <w:pPr>
        <w:pStyle w:val="a4"/>
        <w:tabs>
          <w:tab w:val="left" w:pos="0"/>
          <w:tab w:val="left" w:pos="709"/>
          <w:tab w:val="left" w:pos="851"/>
        </w:tabs>
        <w:spacing w:before="60" w:after="60" w:line="312" w:lineRule="auto"/>
        <w:ind w:right="141" w:firstLine="851"/>
        <w:rPr>
          <w:spacing w:val="-14"/>
          <w:sz w:val="28"/>
          <w:szCs w:val="28"/>
        </w:rPr>
      </w:pPr>
      <w:r w:rsidRPr="000E236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7905750</wp:posOffset>
            </wp:positionV>
            <wp:extent cx="6029325" cy="2133600"/>
            <wp:effectExtent l="0" t="0" r="9525" b="0"/>
            <wp:wrapThrough wrapText="bothSides">
              <wp:wrapPolygon edited="0">
                <wp:start x="0" y="0"/>
                <wp:lineTo x="0" y="21407"/>
                <wp:lineTo x="21566" y="21407"/>
                <wp:lineTo x="21566" y="0"/>
                <wp:lineTo x="0" y="0"/>
              </wp:wrapPolygon>
            </wp:wrapThrough>
            <wp:docPr id="69" name="Объект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49E" w:rsidRPr="0013249E">
        <w:rPr>
          <w:sz w:val="28"/>
          <w:szCs w:val="28"/>
        </w:rPr>
        <w:t>На объектах</w:t>
      </w:r>
      <w:r w:rsidR="00EC01DB">
        <w:rPr>
          <w:sz w:val="28"/>
          <w:szCs w:val="28"/>
        </w:rPr>
        <w:t xml:space="preserve"> электрических сетей произошло </w:t>
      </w:r>
      <w:r w:rsidR="00AA68C1">
        <w:rPr>
          <w:sz w:val="28"/>
          <w:szCs w:val="28"/>
        </w:rPr>
        <w:t>14</w:t>
      </w:r>
      <w:r w:rsidR="0013249E" w:rsidRPr="0013249E">
        <w:rPr>
          <w:sz w:val="28"/>
          <w:szCs w:val="28"/>
        </w:rPr>
        <w:t xml:space="preserve"> несчастных случаев</w:t>
      </w:r>
      <w:r w:rsidR="0013249E" w:rsidRPr="0013249E">
        <w:rPr>
          <w:sz w:val="28"/>
          <w:szCs w:val="28"/>
        </w:rPr>
        <w:br/>
        <w:t xml:space="preserve">со смертельным исходом, на электроустановках потребителей – </w:t>
      </w:r>
      <w:r w:rsidR="003221E6">
        <w:rPr>
          <w:sz w:val="28"/>
          <w:szCs w:val="28"/>
        </w:rPr>
        <w:t>9</w:t>
      </w:r>
      <w:r w:rsidR="0013249E" w:rsidRPr="0013249E">
        <w:rPr>
          <w:sz w:val="28"/>
          <w:szCs w:val="28"/>
        </w:rPr>
        <w:t>,</w:t>
      </w:r>
      <w:r w:rsidR="0013249E">
        <w:rPr>
          <w:sz w:val="28"/>
          <w:szCs w:val="28"/>
        </w:rPr>
        <w:t xml:space="preserve"> </w:t>
      </w:r>
      <w:r w:rsidR="00F91577">
        <w:rPr>
          <w:sz w:val="28"/>
          <w:szCs w:val="28"/>
        </w:rPr>
        <w:br/>
      </w:r>
      <w:r w:rsidR="000E236F" w:rsidRPr="000E236F">
        <w:rPr>
          <w:sz w:val="28"/>
          <w:szCs w:val="28"/>
        </w:rPr>
        <w:t>на тепловых</w:t>
      </w:r>
      <w:r w:rsidR="000E236F" w:rsidRPr="000E236F">
        <w:rPr>
          <w:spacing w:val="-14"/>
          <w:sz w:val="28"/>
          <w:szCs w:val="28"/>
        </w:rPr>
        <w:t xml:space="preserve"> </w:t>
      </w:r>
      <w:r w:rsidR="000E236F" w:rsidRPr="000E236F">
        <w:rPr>
          <w:sz w:val="28"/>
          <w:szCs w:val="28"/>
        </w:rPr>
        <w:t xml:space="preserve">электростанциях – </w:t>
      </w:r>
      <w:r w:rsidR="00155B5E">
        <w:rPr>
          <w:sz w:val="28"/>
          <w:szCs w:val="28"/>
        </w:rPr>
        <w:t>1</w:t>
      </w:r>
      <w:r w:rsidR="000E236F" w:rsidRPr="000E236F">
        <w:rPr>
          <w:sz w:val="28"/>
          <w:szCs w:val="28"/>
        </w:rPr>
        <w:t xml:space="preserve">, </w:t>
      </w:r>
      <w:r w:rsidR="00FC7D7E" w:rsidRPr="000E236F">
        <w:rPr>
          <w:sz w:val="28"/>
          <w:szCs w:val="28"/>
        </w:rPr>
        <w:t xml:space="preserve">на теплогенерирующих установках </w:t>
      </w:r>
      <w:r w:rsidR="00F91577">
        <w:rPr>
          <w:sz w:val="28"/>
          <w:szCs w:val="28"/>
        </w:rPr>
        <w:br/>
      </w:r>
      <w:r w:rsidR="00FC7D7E" w:rsidRPr="000E236F">
        <w:rPr>
          <w:sz w:val="28"/>
          <w:szCs w:val="28"/>
        </w:rPr>
        <w:t xml:space="preserve">и тепловых сетях – 1 </w:t>
      </w:r>
      <w:r w:rsidR="008166DD" w:rsidRPr="000E236F">
        <w:rPr>
          <w:sz w:val="28"/>
          <w:szCs w:val="28"/>
        </w:rPr>
        <w:t>(рисунок</w:t>
      </w:r>
      <w:r w:rsidR="00F83C1D" w:rsidRPr="000E236F">
        <w:rPr>
          <w:sz w:val="28"/>
          <w:szCs w:val="28"/>
        </w:rPr>
        <w:t xml:space="preserve"> 2).</w:t>
      </w:r>
    </w:p>
    <w:p w:rsidR="00A51064" w:rsidRPr="00371F2C" w:rsidRDefault="00A51064" w:rsidP="004761AD">
      <w:pPr>
        <w:tabs>
          <w:tab w:val="left" w:pos="0"/>
          <w:tab w:val="left" w:pos="709"/>
          <w:tab w:val="left" w:pos="851"/>
          <w:tab w:val="left" w:pos="1701"/>
        </w:tabs>
        <w:spacing w:line="312" w:lineRule="auto"/>
        <w:rPr>
          <w:sz w:val="28"/>
          <w:szCs w:val="28"/>
        </w:rPr>
      </w:pPr>
      <w:r w:rsidRPr="00EE1AE4">
        <w:rPr>
          <w:sz w:val="28"/>
          <w:szCs w:val="28"/>
        </w:rPr>
        <w:lastRenderedPageBreak/>
        <w:t>Материалы о расследованных</w:t>
      </w:r>
      <w:r w:rsidRPr="00371F2C">
        <w:rPr>
          <w:sz w:val="28"/>
          <w:szCs w:val="28"/>
        </w:rPr>
        <w:t xml:space="preserve"> несчастных случаях в открытом </w:t>
      </w:r>
      <w:r w:rsidRPr="00371F2C">
        <w:rPr>
          <w:sz w:val="28"/>
          <w:szCs w:val="28"/>
        </w:rPr>
        <w:br/>
        <w:t xml:space="preserve">доступе размещены на официальном сайте Федеральной службы </w:t>
      </w:r>
      <w:r w:rsidRPr="00371F2C">
        <w:rPr>
          <w:sz w:val="28"/>
          <w:szCs w:val="28"/>
        </w:rPr>
        <w:br/>
        <w:t xml:space="preserve">по экологическому, технологическому и атомному надзору по ссылке </w:t>
      </w:r>
      <w:hyperlink r:id="rId10" w:history="1">
        <w:r w:rsidRPr="00802C06">
          <w:rPr>
            <w:sz w:val="28"/>
            <w:szCs w:val="28"/>
          </w:rPr>
          <w:t>http://www.gosnadzor.ru/energy/energy/lessons/</w:t>
        </w:r>
      </w:hyperlink>
      <w:r w:rsidRPr="0058391F">
        <w:rPr>
          <w:sz w:val="28"/>
          <w:szCs w:val="28"/>
        </w:rPr>
        <w:t>.</w:t>
      </w:r>
    </w:p>
    <w:p w:rsidR="00E00253" w:rsidRPr="00940491" w:rsidRDefault="00F52790" w:rsidP="004761AD">
      <w:pPr>
        <w:tabs>
          <w:tab w:val="left" w:pos="0"/>
          <w:tab w:val="left" w:pos="709"/>
          <w:tab w:val="left" w:pos="851"/>
          <w:tab w:val="left" w:pos="1701"/>
        </w:tabs>
        <w:spacing w:before="120" w:after="120" w:line="312" w:lineRule="auto"/>
        <w:rPr>
          <w:sz w:val="28"/>
          <w:szCs w:val="28"/>
        </w:rPr>
      </w:pPr>
      <w:r w:rsidRPr="00940491">
        <w:rPr>
          <w:noProof/>
          <w:shd w:val="clear" w:color="auto" w:fill="FFFFFF" w:themeFill="background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1141095</wp:posOffset>
            </wp:positionV>
            <wp:extent cx="6096000" cy="3467100"/>
            <wp:effectExtent l="0" t="0" r="0" b="0"/>
            <wp:wrapThrough wrapText="bothSides">
              <wp:wrapPolygon edited="0">
                <wp:start x="0" y="0"/>
                <wp:lineTo x="0" y="21481"/>
                <wp:lineTo x="21533" y="21481"/>
                <wp:lineTo x="21533" y="0"/>
                <wp:lineTo x="0" y="0"/>
              </wp:wrapPolygon>
            </wp:wrapThrough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AD5B39" w:rsidRPr="00940491">
        <w:rPr>
          <w:sz w:val="28"/>
          <w:szCs w:val="28"/>
        </w:rPr>
        <w:t>Н</w:t>
      </w:r>
      <w:r w:rsidR="00E00253" w:rsidRPr="00940491">
        <w:rPr>
          <w:sz w:val="28"/>
          <w:szCs w:val="28"/>
        </w:rPr>
        <w:t xml:space="preserve">аибольшее количество несчастных случаев со смертельным исходом произошло в </w:t>
      </w:r>
      <w:r w:rsidR="00E00253" w:rsidRPr="00627A99">
        <w:rPr>
          <w:sz w:val="28"/>
          <w:szCs w:val="28"/>
        </w:rPr>
        <w:t>организациях</w:t>
      </w:r>
      <w:r w:rsidR="00E00253" w:rsidRPr="00940491">
        <w:rPr>
          <w:sz w:val="28"/>
          <w:szCs w:val="28"/>
        </w:rPr>
        <w:t xml:space="preserve">, поднадзорных Центральному управлению </w:t>
      </w:r>
      <w:r w:rsidR="00CB1066" w:rsidRPr="00940491">
        <w:rPr>
          <w:sz w:val="28"/>
          <w:szCs w:val="28"/>
        </w:rPr>
        <w:t xml:space="preserve">Ростехнадзора </w:t>
      </w:r>
      <w:r w:rsidR="00AF04A3" w:rsidRPr="00940491">
        <w:rPr>
          <w:sz w:val="28"/>
          <w:szCs w:val="28"/>
        </w:rPr>
        <w:t>(</w:t>
      </w:r>
      <w:r w:rsidR="00896641">
        <w:rPr>
          <w:sz w:val="28"/>
          <w:szCs w:val="28"/>
        </w:rPr>
        <w:t>5 случаев</w:t>
      </w:r>
      <w:r w:rsidR="00AF04A3" w:rsidRPr="00940491">
        <w:rPr>
          <w:sz w:val="28"/>
          <w:szCs w:val="28"/>
        </w:rPr>
        <w:t>)</w:t>
      </w:r>
      <w:r w:rsidR="008B4C3B">
        <w:rPr>
          <w:sz w:val="28"/>
          <w:szCs w:val="28"/>
        </w:rPr>
        <w:t xml:space="preserve"> </w:t>
      </w:r>
      <w:r w:rsidR="00E00253" w:rsidRPr="00940491">
        <w:rPr>
          <w:sz w:val="28"/>
          <w:szCs w:val="28"/>
        </w:rPr>
        <w:t>(рисунок 3).</w:t>
      </w:r>
    </w:p>
    <w:p w:rsidR="004C6D0F" w:rsidRPr="004C6D0F" w:rsidRDefault="004C6D0F" w:rsidP="004C6D0F">
      <w:pPr>
        <w:tabs>
          <w:tab w:val="left" w:pos="0"/>
          <w:tab w:val="left" w:pos="709"/>
          <w:tab w:val="left" w:pos="851"/>
          <w:tab w:val="left" w:pos="1701"/>
        </w:tabs>
        <w:spacing w:line="360" w:lineRule="auto"/>
        <w:rPr>
          <w:sz w:val="16"/>
          <w:szCs w:val="16"/>
        </w:rPr>
      </w:pP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</w:t>
      </w:r>
      <w:r w:rsidR="00BD6FE2">
        <w:rPr>
          <w:b/>
          <w:sz w:val="28"/>
          <w:szCs w:val="28"/>
        </w:rPr>
        <w:t>несчастного случая</w:t>
      </w:r>
      <w:r w:rsidRPr="00254B10">
        <w:rPr>
          <w:b/>
          <w:sz w:val="28"/>
          <w:szCs w:val="28"/>
        </w:rPr>
        <w:t xml:space="preserve"> со смертельным исходом, </w:t>
      </w:r>
      <w:r w:rsidR="00BD6FE2" w:rsidRPr="00254B10">
        <w:rPr>
          <w:b/>
          <w:sz w:val="28"/>
          <w:szCs w:val="28"/>
        </w:rPr>
        <w:t>произошедш</w:t>
      </w:r>
      <w:r w:rsidR="00BD6FE2">
        <w:rPr>
          <w:b/>
          <w:sz w:val="28"/>
          <w:szCs w:val="28"/>
        </w:rPr>
        <w:t>его</w:t>
      </w:r>
      <w:r w:rsidRPr="00254B10">
        <w:rPr>
          <w:b/>
          <w:sz w:val="28"/>
          <w:szCs w:val="28"/>
        </w:rPr>
        <w:t xml:space="preserve"> в </w:t>
      </w:r>
      <w:r w:rsidR="00FB2CEC">
        <w:rPr>
          <w:b/>
          <w:sz w:val="28"/>
          <w:szCs w:val="28"/>
        </w:rPr>
        <w:t>октябре</w:t>
      </w:r>
      <w:r w:rsidR="00BD6FE2">
        <w:rPr>
          <w:b/>
          <w:sz w:val="28"/>
          <w:szCs w:val="28"/>
        </w:rPr>
        <w:t xml:space="preserve"> 2025 г.</w:t>
      </w:r>
    </w:p>
    <w:p w:rsidR="008422E1" w:rsidRPr="008422E1" w:rsidRDefault="008422E1" w:rsidP="008422E1">
      <w:pPr>
        <w:pStyle w:val="ad"/>
        <w:tabs>
          <w:tab w:val="left" w:pos="0"/>
          <w:tab w:val="left" w:pos="851"/>
          <w:tab w:val="left" w:pos="1134"/>
        </w:tabs>
        <w:spacing w:after="240" w:line="312" w:lineRule="auto"/>
        <w:ind w:left="851" w:firstLine="0"/>
        <w:rPr>
          <w:b/>
          <w:sz w:val="16"/>
          <w:szCs w:val="16"/>
        </w:rPr>
      </w:pPr>
    </w:p>
    <w:p w:rsidR="0068440D" w:rsidRPr="00BD33A4" w:rsidRDefault="00CE40E5" w:rsidP="00E468E3">
      <w:pPr>
        <w:pStyle w:val="ad"/>
        <w:tabs>
          <w:tab w:val="left" w:pos="0"/>
          <w:tab w:val="left" w:pos="709"/>
          <w:tab w:val="left" w:pos="1276"/>
          <w:tab w:val="left" w:pos="1560"/>
        </w:tabs>
        <w:spacing w:before="120" w:line="312" w:lineRule="auto"/>
        <w:ind w:left="0"/>
        <w:rPr>
          <w:i/>
          <w:sz w:val="28"/>
          <w:szCs w:val="28"/>
        </w:rPr>
      </w:pPr>
      <w:r w:rsidRPr="00BD33A4">
        <w:rPr>
          <w:sz w:val="28"/>
          <w:szCs w:val="28"/>
        </w:rPr>
        <w:t xml:space="preserve">Несчастный случай со смертельным исходом произошел </w:t>
      </w:r>
      <w:r w:rsidR="00274EF6" w:rsidRPr="00BD33A4">
        <w:rPr>
          <w:sz w:val="28"/>
          <w:szCs w:val="28"/>
        </w:rPr>
        <w:br/>
      </w:r>
      <w:r w:rsidR="00FB2CEC" w:rsidRPr="00BD33A4">
        <w:rPr>
          <w:sz w:val="28"/>
          <w:szCs w:val="28"/>
        </w:rPr>
        <w:t>3 октября</w:t>
      </w:r>
      <w:r w:rsidR="00B82C64" w:rsidRPr="00BD33A4">
        <w:rPr>
          <w:sz w:val="28"/>
          <w:szCs w:val="28"/>
        </w:rPr>
        <w:t xml:space="preserve"> 2025 г. с работником </w:t>
      </w:r>
      <w:r w:rsidR="00FB2CEC" w:rsidRPr="00BD33A4">
        <w:rPr>
          <w:sz w:val="28"/>
          <w:szCs w:val="28"/>
        </w:rPr>
        <w:t xml:space="preserve">ФГУП «Управление Энергетики </w:t>
      </w:r>
      <w:r w:rsidR="00D12007" w:rsidRPr="00BD33A4">
        <w:rPr>
          <w:sz w:val="28"/>
          <w:szCs w:val="28"/>
        </w:rPr>
        <w:br/>
      </w:r>
      <w:r w:rsidR="00FB2CEC" w:rsidRPr="00BD33A4">
        <w:rPr>
          <w:sz w:val="28"/>
          <w:szCs w:val="28"/>
        </w:rPr>
        <w:t>и Водоснабжения», Новосибирская область.</w:t>
      </w:r>
    </w:p>
    <w:p w:rsidR="00BD33A4" w:rsidRPr="00BD33A4" w:rsidRDefault="00B82C64" w:rsidP="00E468E3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DA2D32">
        <w:rPr>
          <w:i/>
          <w:sz w:val="28"/>
          <w:szCs w:val="28"/>
        </w:rPr>
        <w:t>Краткие обстоятельства несчастного случая.</w:t>
      </w:r>
      <w:r w:rsidRPr="00716307">
        <w:rPr>
          <w:sz w:val="28"/>
          <w:szCs w:val="28"/>
        </w:rPr>
        <w:t xml:space="preserve"> </w:t>
      </w:r>
      <w:r w:rsidR="00BD33A4" w:rsidRPr="00BD33A4">
        <w:rPr>
          <w:sz w:val="28"/>
          <w:szCs w:val="28"/>
        </w:rPr>
        <w:t>Во время осмотра ячейки № 5 в РП-26 РУ 10</w:t>
      </w:r>
      <w:r w:rsidR="00716307">
        <w:rPr>
          <w:sz w:val="28"/>
          <w:szCs w:val="28"/>
        </w:rPr>
        <w:t xml:space="preserve"> </w:t>
      </w:r>
      <w:r w:rsidR="00BD33A4" w:rsidRPr="00BD33A4">
        <w:rPr>
          <w:sz w:val="28"/>
          <w:szCs w:val="28"/>
        </w:rPr>
        <w:t xml:space="preserve">кВ </w:t>
      </w:r>
      <w:r w:rsidR="00BD33A4" w:rsidRPr="00716307">
        <w:rPr>
          <w:sz w:val="28"/>
          <w:szCs w:val="28"/>
        </w:rPr>
        <w:t xml:space="preserve">электромонтер </w:t>
      </w:r>
      <w:r w:rsidR="00716307" w:rsidRPr="00716307">
        <w:rPr>
          <w:bCs/>
          <w:sz w:val="28"/>
          <w:szCs w:val="28"/>
        </w:rPr>
        <w:t>оперативно-выездной бригады</w:t>
      </w:r>
      <w:bookmarkStart w:id="0" w:name="_GoBack"/>
      <w:bookmarkEnd w:id="0"/>
      <w:r w:rsidR="00BD33A4" w:rsidRPr="00BD33A4">
        <w:rPr>
          <w:sz w:val="28"/>
          <w:szCs w:val="28"/>
        </w:rPr>
        <w:t xml:space="preserve"> </w:t>
      </w:r>
      <w:r w:rsidR="00881752">
        <w:rPr>
          <w:sz w:val="28"/>
          <w:szCs w:val="28"/>
        </w:rPr>
        <w:br/>
      </w:r>
      <w:r w:rsidR="00BD33A4" w:rsidRPr="00BD33A4">
        <w:rPr>
          <w:sz w:val="28"/>
          <w:szCs w:val="28"/>
        </w:rPr>
        <w:t xml:space="preserve">в результате </w:t>
      </w:r>
      <w:r w:rsidR="00881752">
        <w:rPr>
          <w:sz w:val="28"/>
          <w:szCs w:val="28"/>
        </w:rPr>
        <w:t xml:space="preserve">воздействия электрического тока </w:t>
      </w:r>
      <w:r w:rsidR="00BD33A4" w:rsidRPr="00BD33A4">
        <w:rPr>
          <w:sz w:val="28"/>
          <w:szCs w:val="28"/>
        </w:rPr>
        <w:t>получил электротравму, несовместимую с жизнью.</w:t>
      </w:r>
    </w:p>
    <w:p w:rsidR="00D239A1" w:rsidRPr="00AF04A3" w:rsidRDefault="00B84BAF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b/>
          <w:sz w:val="28"/>
          <w:szCs w:val="28"/>
        </w:rPr>
      </w:pPr>
      <w:r w:rsidRPr="004F577E">
        <w:rPr>
          <w:b/>
          <w:sz w:val="28"/>
          <w:szCs w:val="28"/>
        </w:rPr>
        <w:lastRenderedPageBreak/>
        <w:t>Уроки, извлече</w:t>
      </w:r>
      <w:r w:rsidR="00D239A1" w:rsidRPr="004F577E">
        <w:rPr>
          <w:b/>
          <w:sz w:val="28"/>
          <w:szCs w:val="28"/>
        </w:rPr>
        <w:t xml:space="preserve">нные из несчастных случаев со смертельным </w:t>
      </w:r>
      <w:r w:rsidR="00D239A1" w:rsidRPr="00AF04A3">
        <w:rPr>
          <w:b/>
          <w:sz w:val="28"/>
          <w:szCs w:val="28"/>
        </w:rPr>
        <w:t>исходом, подготовленные на основе материалов, направленных территориальными органами</w:t>
      </w:r>
    </w:p>
    <w:p w:rsidR="00D239A1" w:rsidRDefault="00D239A1" w:rsidP="009C3DCB">
      <w:pPr>
        <w:tabs>
          <w:tab w:val="left" w:pos="0"/>
          <w:tab w:val="left" w:pos="709"/>
          <w:tab w:val="left" w:pos="851"/>
          <w:tab w:val="left" w:pos="1560"/>
        </w:tabs>
        <w:spacing w:before="120" w:line="312" w:lineRule="auto"/>
        <w:rPr>
          <w:sz w:val="28"/>
          <w:szCs w:val="28"/>
        </w:rPr>
      </w:pPr>
      <w:r w:rsidRPr="00D239A1">
        <w:rPr>
          <w:sz w:val="28"/>
          <w:szCs w:val="28"/>
        </w:rPr>
        <w:t>Данные материалы представлены в Приложении № 2.</w:t>
      </w:r>
    </w:p>
    <w:p w:rsidR="00C315C4" w:rsidRPr="009E557F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>Исходя из анализа обстоятельств и причин смертельных несчастных случаев на энергоустановках, Ростехнадзор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FC045D" w:rsidRDefault="00D65948" w:rsidP="00386073">
      <w:pPr>
        <w:pStyle w:val="a4"/>
        <w:tabs>
          <w:tab w:val="left" w:pos="709"/>
          <w:tab w:val="left" w:pos="851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1.</w:t>
      </w:r>
      <w:r w:rsidRPr="00886BF1">
        <w:rPr>
          <w:sz w:val="28"/>
          <w:szCs w:val="28"/>
        </w:rPr>
        <w:tab/>
        <w:t>Проводить ознакомление работников с материалами настоящего анализа при проведении занятий и инструктажей по охране труда.</w:t>
      </w:r>
      <w:r w:rsidR="00FC045D">
        <w:rPr>
          <w:sz w:val="28"/>
          <w:szCs w:val="28"/>
        </w:rPr>
        <w:t xml:space="preserve"> </w:t>
      </w:r>
    </w:p>
    <w:p w:rsidR="00D65948" w:rsidRPr="00886BF1" w:rsidRDefault="00FC045D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в электроустановках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>Усилить контроль за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 w:rsidR="0064763E"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и ремонту энергооборудования. Усилить контроль за соблюдением порядка включения и выключения энергооборудования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833DAE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1471B6" w:rsidRDefault="001471B6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739D8" w:rsidRPr="00833DAE" w:rsidRDefault="009B44DD" w:rsidP="00B01546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_________</w:t>
      </w:r>
    </w:p>
    <w:sectPr w:rsidR="00B739D8" w:rsidRPr="00833DAE" w:rsidSect="00675227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2C" w:rsidRDefault="00F22E2C">
      <w:r>
        <w:separator/>
      </w:r>
    </w:p>
  </w:endnote>
  <w:endnote w:type="continuationSeparator" w:id="0">
    <w:p w:rsidR="00F22E2C" w:rsidRDefault="00F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7D">
          <w:rPr>
            <w:noProof/>
          </w:rPr>
          <w:t>2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2C" w:rsidRDefault="00F22E2C">
      <w:r>
        <w:separator/>
      </w:r>
    </w:p>
  </w:footnote>
  <w:footnote w:type="continuationSeparator" w:id="0">
    <w:p w:rsidR="00F22E2C" w:rsidRDefault="00F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 w15:restartNumberingAfterBreak="0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350"/>
    <w:rsid w:val="00024CB6"/>
    <w:rsid w:val="0002507D"/>
    <w:rsid w:val="00025BE6"/>
    <w:rsid w:val="00025D20"/>
    <w:rsid w:val="00026405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1D9B"/>
    <w:rsid w:val="00092580"/>
    <w:rsid w:val="00092EF6"/>
    <w:rsid w:val="00095662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709D"/>
    <w:rsid w:val="000D77ED"/>
    <w:rsid w:val="000E1913"/>
    <w:rsid w:val="000E1E76"/>
    <w:rsid w:val="000E236F"/>
    <w:rsid w:val="000E2481"/>
    <w:rsid w:val="000E2515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5B02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39A5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1B6"/>
    <w:rsid w:val="0014732F"/>
    <w:rsid w:val="001473F4"/>
    <w:rsid w:val="0014741C"/>
    <w:rsid w:val="00147F63"/>
    <w:rsid w:val="00150909"/>
    <w:rsid w:val="0015104F"/>
    <w:rsid w:val="0015128C"/>
    <w:rsid w:val="001521B6"/>
    <w:rsid w:val="001522C9"/>
    <w:rsid w:val="001523D3"/>
    <w:rsid w:val="001524A3"/>
    <w:rsid w:val="001529BE"/>
    <w:rsid w:val="00152C0F"/>
    <w:rsid w:val="001535F1"/>
    <w:rsid w:val="0015389C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370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2B98"/>
    <w:rsid w:val="001B42B0"/>
    <w:rsid w:val="001B474E"/>
    <w:rsid w:val="001B4C94"/>
    <w:rsid w:val="001B6058"/>
    <w:rsid w:val="001B7CE4"/>
    <w:rsid w:val="001C06FE"/>
    <w:rsid w:val="001C245E"/>
    <w:rsid w:val="001C308D"/>
    <w:rsid w:val="001C3B35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CEC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980"/>
    <w:rsid w:val="00274EF6"/>
    <w:rsid w:val="00275086"/>
    <w:rsid w:val="0027566C"/>
    <w:rsid w:val="00275A22"/>
    <w:rsid w:val="00276858"/>
    <w:rsid w:val="002775F3"/>
    <w:rsid w:val="00277F13"/>
    <w:rsid w:val="0028104D"/>
    <w:rsid w:val="002811C2"/>
    <w:rsid w:val="002811F9"/>
    <w:rsid w:val="00281275"/>
    <w:rsid w:val="00283A9E"/>
    <w:rsid w:val="00283BEB"/>
    <w:rsid w:val="00284481"/>
    <w:rsid w:val="00285591"/>
    <w:rsid w:val="00286D9D"/>
    <w:rsid w:val="002905E2"/>
    <w:rsid w:val="0029196C"/>
    <w:rsid w:val="00293B2B"/>
    <w:rsid w:val="00293F5D"/>
    <w:rsid w:val="00294454"/>
    <w:rsid w:val="00296D46"/>
    <w:rsid w:val="00297023"/>
    <w:rsid w:val="002A024C"/>
    <w:rsid w:val="002A210F"/>
    <w:rsid w:val="002A3140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78A"/>
    <w:rsid w:val="003218B6"/>
    <w:rsid w:val="003221E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37C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24C2"/>
    <w:rsid w:val="003633EB"/>
    <w:rsid w:val="00363917"/>
    <w:rsid w:val="00364FC8"/>
    <w:rsid w:val="0036519F"/>
    <w:rsid w:val="0036600E"/>
    <w:rsid w:val="0036638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2F7F"/>
    <w:rsid w:val="003A3DD8"/>
    <w:rsid w:val="003A44A8"/>
    <w:rsid w:val="003A4A7E"/>
    <w:rsid w:val="003A5A24"/>
    <w:rsid w:val="003A5AEB"/>
    <w:rsid w:val="003A6A1D"/>
    <w:rsid w:val="003B00BF"/>
    <w:rsid w:val="003B00E1"/>
    <w:rsid w:val="003B0436"/>
    <w:rsid w:val="003B0B92"/>
    <w:rsid w:val="003B162C"/>
    <w:rsid w:val="003B16AB"/>
    <w:rsid w:val="003B25F1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6000"/>
    <w:rsid w:val="003D72CD"/>
    <w:rsid w:val="003E0352"/>
    <w:rsid w:val="003E0F66"/>
    <w:rsid w:val="003E1482"/>
    <w:rsid w:val="003E22EF"/>
    <w:rsid w:val="003E278B"/>
    <w:rsid w:val="003E2F24"/>
    <w:rsid w:val="003E469A"/>
    <w:rsid w:val="003E46B2"/>
    <w:rsid w:val="003E49DE"/>
    <w:rsid w:val="003E56EF"/>
    <w:rsid w:val="003E6686"/>
    <w:rsid w:val="003F1351"/>
    <w:rsid w:val="003F1A82"/>
    <w:rsid w:val="003F24CD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66E2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6B6F"/>
    <w:rsid w:val="00477B3A"/>
    <w:rsid w:val="00480074"/>
    <w:rsid w:val="0048012C"/>
    <w:rsid w:val="0048262F"/>
    <w:rsid w:val="00482ECC"/>
    <w:rsid w:val="0048339D"/>
    <w:rsid w:val="0048494A"/>
    <w:rsid w:val="00485084"/>
    <w:rsid w:val="0048635E"/>
    <w:rsid w:val="00486AB6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0660"/>
    <w:rsid w:val="004B46CE"/>
    <w:rsid w:val="004B4A53"/>
    <w:rsid w:val="004B63CD"/>
    <w:rsid w:val="004C01C3"/>
    <w:rsid w:val="004C15F8"/>
    <w:rsid w:val="004C17D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D85"/>
    <w:rsid w:val="004D45F2"/>
    <w:rsid w:val="004D545F"/>
    <w:rsid w:val="004D5A55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A7D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72D"/>
    <w:rsid w:val="00552DA0"/>
    <w:rsid w:val="00553079"/>
    <w:rsid w:val="005555DD"/>
    <w:rsid w:val="0055579E"/>
    <w:rsid w:val="005559B8"/>
    <w:rsid w:val="00555AC3"/>
    <w:rsid w:val="00557187"/>
    <w:rsid w:val="00560F48"/>
    <w:rsid w:val="0056102F"/>
    <w:rsid w:val="0056226F"/>
    <w:rsid w:val="00562952"/>
    <w:rsid w:val="00562F57"/>
    <w:rsid w:val="00563A18"/>
    <w:rsid w:val="00563A41"/>
    <w:rsid w:val="00563C2F"/>
    <w:rsid w:val="00567E3F"/>
    <w:rsid w:val="005739DD"/>
    <w:rsid w:val="00575DCF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97B19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48A1"/>
    <w:rsid w:val="005B6F80"/>
    <w:rsid w:val="005C04A5"/>
    <w:rsid w:val="005C1E0A"/>
    <w:rsid w:val="005C1F9C"/>
    <w:rsid w:val="005C2E6F"/>
    <w:rsid w:val="005C31EE"/>
    <w:rsid w:val="005C4DBB"/>
    <w:rsid w:val="005C5307"/>
    <w:rsid w:val="005C5E84"/>
    <w:rsid w:val="005C723A"/>
    <w:rsid w:val="005D2103"/>
    <w:rsid w:val="005D340A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AED"/>
    <w:rsid w:val="005E300A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668F4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440D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3F9"/>
    <w:rsid w:val="006D18D4"/>
    <w:rsid w:val="006D1C1B"/>
    <w:rsid w:val="006D247C"/>
    <w:rsid w:val="006D2823"/>
    <w:rsid w:val="006D333E"/>
    <w:rsid w:val="006D3B0B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5970"/>
    <w:rsid w:val="00707CEE"/>
    <w:rsid w:val="00711134"/>
    <w:rsid w:val="00711824"/>
    <w:rsid w:val="007119FE"/>
    <w:rsid w:val="00714F51"/>
    <w:rsid w:val="00715716"/>
    <w:rsid w:val="00716307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BA2"/>
    <w:rsid w:val="0072745A"/>
    <w:rsid w:val="00727E7A"/>
    <w:rsid w:val="00730FA9"/>
    <w:rsid w:val="00731B44"/>
    <w:rsid w:val="0073371F"/>
    <w:rsid w:val="00734330"/>
    <w:rsid w:val="00734DA0"/>
    <w:rsid w:val="007358E2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527C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800E98"/>
    <w:rsid w:val="008010BC"/>
    <w:rsid w:val="00802C06"/>
    <w:rsid w:val="0080653F"/>
    <w:rsid w:val="0080719F"/>
    <w:rsid w:val="00807AEE"/>
    <w:rsid w:val="00807BE7"/>
    <w:rsid w:val="00810775"/>
    <w:rsid w:val="00811B98"/>
    <w:rsid w:val="00813268"/>
    <w:rsid w:val="00813CEC"/>
    <w:rsid w:val="00813EF7"/>
    <w:rsid w:val="008143CC"/>
    <w:rsid w:val="00815242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8E4"/>
    <w:rsid w:val="00826A2E"/>
    <w:rsid w:val="00826BF7"/>
    <w:rsid w:val="00827469"/>
    <w:rsid w:val="00830246"/>
    <w:rsid w:val="008318A1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22E1"/>
    <w:rsid w:val="008436B3"/>
    <w:rsid w:val="008447E7"/>
    <w:rsid w:val="00844BDC"/>
    <w:rsid w:val="0084613F"/>
    <w:rsid w:val="00847288"/>
    <w:rsid w:val="00847CC1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86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772B"/>
    <w:rsid w:val="00877BDC"/>
    <w:rsid w:val="00877F1D"/>
    <w:rsid w:val="008805D1"/>
    <w:rsid w:val="00881750"/>
    <w:rsid w:val="00881752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B7CF2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8A9"/>
    <w:rsid w:val="00906E2B"/>
    <w:rsid w:val="00912632"/>
    <w:rsid w:val="0091495C"/>
    <w:rsid w:val="0091581E"/>
    <w:rsid w:val="00916A4C"/>
    <w:rsid w:val="009170DF"/>
    <w:rsid w:val="0091738C"/>
    <w:rsid w:val="00921507"/>
    <w:rsid w:val="00921C3C"/>
    <w:rsid w:val="009220ED"/>
    <w:rsid w:val="009221E9"/>
    <w:rsid w:val="00922EE2"/>
    <w:rsid w:val="009252BA"/>
    <w:rsid w:val="0092584D"/>
    <w:rsid w:val="00926B4E"/>
    <w:rsid w:val="00927164"/>
    <w:rsid w:val="00927F7B"/>
    <w:rsid w:val="00931468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20A1"/>
    <w:rsid w:val="0098210E"/>
    <w:rsid w:val="00983ED7"/>
    <w:rsid w:val="009843E0"/>
    <w:rsid w:val="00984954"/>
    <w:rsid w:val="00984DC0"/>
    <w:rsid w:val="00985039"/>
    <w:rsid w:val="00985D41"/>
    <w:rsid w:val="00987B99"/>
    <w:rsid w:val="00987D3B"/>
    <w:rsid w:val="00990FA7"/>
    <w:rsid w:val="009917AD"/>
    <w:rsid w:val="00992122"/>
    <w:rsid w:val="00992E26"/>
    <w:rsid w:val="009932FA"/>
    <w:rsid w:val="0099488F"/>
    <w:rsid w:val="0099731D"/>
    <w:rsid w:val="009A2A54"/>
    <w:rsid w:val="009A2ED6"/>
    <w:rsid w:val="009A2EE1"/>
    <w:rsid w:val="009A3E8E"/>
    <w:rsid w:val="009A4B9A"/>
    <w:rsid w:val="009A4DC8"/>
    <w:rsid w:val="009A5AA7"/>
    <w:rsid w:val="009B0124"/>
    <w:rsid w:val="009B0A92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6F2B"/>
    <w:rsid w:val="00A10BFC"/>
    <w:rsid w:val="00A139EB"/>
    <w:rsid w:val="00A14820"/>
    <w:rsid w:val="00A1571A"/>
    <w:rsid w:val="00A1600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4045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76E7"/>
    <w:rsid w:val="00A90C39"/>
    <w:rsid w:val="00A9149A"/>
    <w:rsid w:val="00A9172D"/>
    <w:rsid w:val="00A91B22"/>
    <w:rsid w:val="00A929B5"/>
    <w:rsid w:val="00A92DE9"/>
    <w:rsid w:val="00A93250"/>
    <w:rsid w:val="00A945AD"/>
    <w:rsid w:val="00A95608"/>
    <w:rsid w:val="00A95A88"/>
    <w:rsid w:val="00A95C5A"/>
    <w:rsid w:val="00A96B48"/>
    <w:rsid w:val="00A96EB6"/>
    <w:rsid w:val="00A9728C"/>
    <w:rsid w:val="00A97CE2"/>
    <w:rsid w:val="00AA08F3"/>
    <w:rsid w:val="00AA1CFB"/>
    <w:rsid w:val="00AA2E25"/>
    <w:rsid w:val="00AA3B5B"/>
    <w:rsid w:val="00AA4C61"/>
    <w:rsid w:val="00AA68C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4E0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157E"/>
    <w:rsid w:val="00AD2337"/>
    <w:rsid w:val="00AD2E59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4C22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B65"/>
    <w:rsid w:val="00B53F8D"/>
    <w:rsid w:val="00B56308"/>
    <w:rsid w:val="00B6090E"/>
    <w:rsid w:val="00B611FE"/>
    <w:rsid w:val="00B61EB4"/>
    <w:rsid w:val="00B63163"/>
    <w:rsid w:val="00B63690"/>
    <w:rsid w:val="00B6491A"/>
    <w:rsid w:val="00B663D8"/>
    <w:rsid w:val="00B66D81"/>
    <w:rsid w:val="00B670A6"/>
    <w:rsid w:val="00B6759F"/>
    <w:rsid w:val="00B709EC"/>
    <w:rsid w:val="00B70EFA"/>
    <w:rsid w:val="00B7101B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C64"/>
    <w:rsid w:val="00B82D1F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3F3C"/>
    <w:rsid w:val="00B94101"/>
    <w:rsid w:val="00B942FC"/>
    <w:rsid w:val="00B960B8"/>
    <w:rsid w:val="00B96F50"/>
    <w:rsid w:val="00B97605"/>
    <w:rsid w:val="00BA1310"/>
    <w:rsid w:val="00BA1CA1"/>
    <w:rsid w:val="00BA1E88"/>
    <w:rsid w:val="00BA2CB8"/>
    <w:rsid w:val="00BA4447"/>
    <w:rsid w:val="00BA4588"/>
    <w:rsid w:val="00BA4A80"/>
    <w:rsid w:val="00BA6391"/>
    <w:rsid w:val="00BB0305"/>
    <w:rsid w:val="00BB10ED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33A4"/>
    <w:rsid w:val="00BD5C6C"/>
    <w:rsid w:val="00BD6FE2"/>
    <w:rsid w:val="00BD701C"/>
    <w:rsid w:val="00BD727D"/>
    <w:rsid w:val="00BE037D"/>
    <w:rsid w:val="00BE0816"/>
    <w:rsid w:val="00BE0D06"/>
    <w:rsid w:val="00BE10A5"/>
    <w:rsid w:val="00BE18C2"/>
    <w:rsid w:val="00BE20D7"/>
    <w:rsid w:val="00BE2BA2"/>
    <w:rsid w:val="00BE3BB3"/>
    <w:rsid w:val="00BE43A2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576F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D6D"/>
    <w:rsid w:val="00CF0678"/>
    <w:rsid w:val="00CF10A9"/>
    <w:rsid w:val="00CF241F"/>
    <w:rsid w:val="00CF2EFA"/>
    <w:rsid w:val="00CF3914"/>
    <w:rsid w:val="00CF3B8D"/>
    <w:rsid w:val="00CF3BAD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007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4F09"/>
    <w:rsid w:val="00D2554C"/>
    <w:rsid w:val="00D303CE"/>
    <w:rsid w:val="00D304B4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2131"/>
    <w:rsid w:val="00DA2475"/>
    <w:rsid w:val="00DA2949"/>
    <w:rsid w:val="00DA2D32"/>
    <w:rsid w:val="00DA3061"/>
    <w:rsid w:val="00DA337A"/>
    <w:rsid w:val="00DA34BE"/>
    <w:rsid w:val="00DA7DB4"/>
    <w:rsid w:val="00DB0CD3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468E3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7CD0"/>
    <w:rsid w:val="00E87E11"/>
    <w:rsid w:val="00E914E7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4737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6403"/>
    <w:rsid w:val="00ED73C9"/>
    <w:rsid w:val="00EE0244"/>
    <w:rsid w:val="00EE1F71"/>
    <w:rsid w:val="00EE2B59"/>
    <w:rsid w:val="00EE3E32"/>
    <w:rsid w:val="00EE52A4"/>
    <w:rsid w:val="00EE5801"/>
    <w:rsid w:val="00EE5F77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2E2C"/>
    <w:rsid w:val="00F23B63"/>
    <w:rsid w:val="00F23BFE"/>
    <w:rsid w:val="00F23C68"/>
    <w:rsid w:val="00F23DBC"/>
    <w:rsid w:val="00F24710"/>
    <w:rsid w:val="00F26BA0"/>
    <w:rsid w:val="00F32BA1"/>
    <w:rsid w:val="00F334C0"/>
    <w:rsid w:val="00F36A69"/>
    <w:rsid w:val="00F36B71"/>
    <w:rsid w:val="00F3732A"/>
    <w:rsid w:val="00F400B0"/>
    <w:rsid w:val="00F41226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3FAC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0DC"/>
    <w:rsid w:val="00FB0A2E"/>
    <w:rsid w:val="00FB1145"/>
    <w:rsid w:val="00FB226C"/>
    <w:rsid w:val="00FB2CE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764"/>
    <w:rsid w:val="00FC7D7E"/>
    <w:rsid w:val="00FD05D0"/>
    <w:rsid w:val="00FD207C"/>
    <w:rsid w:val="00FD32B6"/>
    <w:rsid w:val="00FD32FC"/>
    <w:rsid w:val="00FD3354"/>
    <w:rsid w:val="00FD5739"/>
    <w:rsid w:val="00FD6D1A"/>
    <w:rsid w:val="00FD776F"/>
    <w:rsid w:val="00FE1612"/>
    <w:rsid w:val="00FE32FD"/>
    <w:rsid w:val="00FE37E0"/>
    <w:rsid w:val="00FE51B3"/>
    <w:rsid w:val="00FE5C57"/>
    <w:rsid w:val="00FF21E1"/>
    <w:rsid w:val="00FF3D2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8E01F-676C-4655-9B84-ED55722A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snadzor.ru/energy/energy/lessons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i="0" baseline="0">
                <a:solidFill>
                  <a:sysClr val="windowText" lastClr="000000"/>
                </a:solidFill>
                <a:effectLst/>
              </a:rPr>
              <a:t>Рис. 1. Динамика травматизма со смертельным исходом </a:t>
            </a:r>
            <a:br>
              <a:rPr lang="ru-RU" sz="1200" b="0" i="0" baseline="0">
                <a:solidFill>
                  <a:sysClr val="windowText" lastClr="000000"/>
                </a:solidFill>
                <a:effectLst/>
              </a:rPr>
            </a:br>
            <a:r>
              <a:rPr lang="ru-RU" sz="1200" b="0" i="0" baseline="0">
                <a:solidFill>
                  <a:sysClr val="windowText" lastClr="000000"/>
                </a:solidFill>
                <a:effectLst/>
              </a:rPr>
              <a:t>за отчетный период </a:t>
            </a:r>
            <a:endParaRPr lang="ru-RU" sz="1200" b="0" i="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21365619810317224"/>
          <c:y val="0.841117796675956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591494703258966"/>
          <c:y val="3.2987547141878314E-2"/>
          <c:w val="0.8101404587772848"/>
          <c:h val="0.673583765493454"/>
        </c:manualLayout>
      </c:layout>
      <c:scatterChart>
        <c:scatterStyle val="lineMarker"/>
        <c:varyColors val="0"/>
        <c:ser>
          <c:idx val="1"/>
          <c:order val="0"/>
          <c:tx>
            <c:v>НС</c:v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x"/>
            <c:size val="7"/>
            <c:spPr>
              <a:noFill/>
              <a:ln w="22225">
                <a:solidFill>
                  <a:srgbClr val="C0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'2024'!$BS$2:$BS$15</c:f>
              <c:numCache>
                <c:formatCode>General</c:formatCode>
                <c:ptCount val="13"/>
                <c:pt idx="0">
                  <c:v>118</c:v>
                </c:pt>
                <c:pt idx="1">
                  <c:v>93</c:v>
                </c:pt>
                <c:pt idx="2">
                  <c:v>61</c:v>
                </c:pt>
                <c:pt idx="3">
                  <c:v>47</c:v>
                </c:pt>
                <c:pt idx="4">
                  <c:v>58</c:v>
                </c:pt>
                <c:pt idx="5">
                  <c:v>49</c:v>
                </c:pt>
                <c:pt idx="6">
                  <c:v>37</c:v>
                </c:pt>
                <c:pt idx="7">
                  <c:v>28</c:v>
                </c:pt>
                <c:pt idx="8">
                  <c:v>44</c:v>
                </c:pt>
                <c:pt idx="9">
                  <c:v>32</c:v>
                </c:pt>
                <c:pt idx="10">
                  <c:v>42</c:v>
                </c:pt>
                <c:pt idx="11">
                  <c:v>27</c:v>
                </c:pt>
                <c:pt idx="12">
                  <c:v>25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'2024'!$BJ$16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9050" cap="rnd">
              <a:solidFill>
                <a:srgbClr val="00B0F0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'2024'!$BI$2:$BI$15</c:f>
              <c:numCache>
                <c:formatCode>General</c:formatCode>
                <c:ptCount val="13"/>
                <c:pt idx="0">
                  <c:v>51.69</c:v>
                </c:pt>
                <c:pt idx="1">
                  <c:v>51.69</c:v>
                </c:pt>
                <c:pt idx="2">
                  <c:v>51.69</c:v>
                </c:pt>
                <c:pt idx="3">
                  <c:v>51.69</c:v>
                </c:pt>
                <c:pt idx="4">
                  <c:v>51.69</c:v>
                </c:pt>
                <c:pt idx="5">
                  <c:v>51.69</c:v>
                </c:pt>
                <c:pt idx="6">
                  <c:v>51.69</c:v>
                </c:pt>
                <c:pt idx="7">
                  <c:v>51.69</c:v>
                </c:pt>
                <c:pt idx="8">
                  <c:v>51.69</c:v>
                </c:pt>
                <c:pt idx="9">
                  <c:v>51.69</c:v>
                </c:pt>
                <c:pt idx="10">
                  <c:v>51.69</c:v>
                </c:pt>
                <c:pt idx="11">
                  <c:v>51.69</c:v>
                </c:pt>
                <c:pt idx="12">
                  <c:v>51.69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6312936"/>
        <c:axId val="316314112"/>
      </c:scatterChart>
      <c:valAx>
        <c:axId val="316312936"/>
        <c:scaling>
          <c:orientation val="minMax"/>
          <c:max val="2025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>
                    <a:solidFill>
                      <a:sysClr val="windowText" lastClr="000000"/>
                    </a:solidFill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3.7995919142306857E-2"/>
              <c:y val="0.719488988098409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6314112"/>
        <c:crossesAt val="0"/>
        <c:crossBetween val="midCat"/>
        <c:majorUnit val="1"/>
      </c:valAx>
      <c:valAx>
        <c:axId val="31631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>
                    <a:solidFill>
                      <a:sysClr val="windowText" lastClr="000000"/>
                    </a:solidFill>
                    <a:effectLst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2.7531114259869881E-2"/>
              <c:y val="7.169327108806933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6312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legendEntry>
        <c:idx val="0"/>
        <c:delete val="1"/>
      </c:legendEntry>
      <c:layout>
        <c:manualLayout>
          <c:xMode val="edge"/>
          <c:yMode val="edge"/>
          <c:x val="0.66134817542879265"/>
          <c:y val="4.7602736279183676E-2"/>
          <c:w val="0.2765708067860318"/>
          <c:h val="6.91199965668520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cap="none" spc="0">
                <a:ln w="0"/>
                <a:solidFill>
                  <a:sysClr val="windowText" lastClr="000000"/>
                </a:solidFill>
                <a:effectLst>
                  <a:outerShdw blurRad="38100" dist="25400" dir="5400000" algn="ctr" rotWithShape="0">
                    <a:srgbClr val="6E747A">
                      <a:alpha val="43000"/>
                    </a:srgbClr>
                  </a:outerShdw>
                </a:effectLst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cap="none" spc="0">
                <a:ln w="0"/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Рис. 2. Распределение количества несчастных случаев по видам объектов</a:t>
            </a:r>
          </a:p>
        </c:rich>
      </c:tx>
      <c:layout>
        <c:manualLayout>
          <c:xMode val="edge"/>
          <c:yMode val="edge"/>
          <c:x val="0.18984880411075375"/>
          <c:y val="0.82922360511387705"/>
        </c:manualLayout>
      </c:layout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739887109990798E-2"/>
          <c:y val="0.18099692474063059"/>
          <c:w val="0.92427301579378651"/>
          <c:h val="0.48651437088882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Pt>
            <c:idx val="0"/>
            <c:bubble3D val="0"/>
            <c:explosion val="17"/>
            <c:spPr>
              <a:gradFill flip="none" rotWithShape="1">
                <a:gsLst>
                  <a:gs pos="0">
                    <a:srgbClr val="C00000">
                      <a:shade val="30000"/>
                      <a:satMod val="115000"/>
                    </a:srgbClr>
                  </a:gs>
                  <a:gs pos="50000">
                    <a:srgbClr val="C00000">
                      <a:shade val="67500"/>
                      <a:satMod val="115000"/>
                    </a:srgbClr>
                  </a:gs>
                  <a:gs pos="100000">
                    <a:srgbClr val="C00000">
                      <a:shade val="100000"/>
                      <a:satMod val="115000"/>
                    </a:srgbClr>
                  </a:gs>
                </a:gsLst>
                <a:lin ang="135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flip="none" rotWithShape="1">
                <a:gsLst>
                  <a:gs pos="0">
                    <a:srgbClr val="FFC000">
                      <a:shade val="30000"/>
                      <a:satMod val="115000"/>
                    </a:srgbClr>
                  </a:gs>
                  <a:gs pos="50000">
                    <a:srgbClr val="FFC000">
                      <a:shade val="67500"/>
                      <a:satMod val="115000"/>
                    </a:srgbClr>
                  </a:gs>
                  <a:gs pos="100000">
                    <a:srgbClr val="FFC000">
                      <a:shade val="100000"/>
                      <a:satMod val="115000"/>
                    </a:srgbClr>
                  </a:gs>
                </a:gsLst>
                <a:lin ang="81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explosion val="17"/>
            <c:spPr>
              <a:gradFill flip="none" rotWithShape="1">
                <a:gsLst>
                  <a:gs pos="0">
                    <a:srgbClr val="0070C0">
                      <a:shade val="30000"/>
                      <a:satMod val="115000"/>
                    </a:srgbClr>
                  </a:gs>
                  <a:gs pos="50000">
                    <a:srgbClr val="0070C0">
                      <a:shade val="67500"/>
                      <a:satMod val="115000"/>
                    </a:srgbClr>
                  </a:gs>
                  <a:gs pos="100000">
                    <a:srgbClr val="0070C0">
                      <a:shade val="100000"/>
                      <a:satMod val="115000"/>
                    </a:srgbClr>
                  </a:gs>
                </a:gsLst>
                <a:lin ang="108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</c:dPt>
          <c:dLbls>
            <c:dLbl>
              <c:idx val="0"/>
              <c:layout>
                <c:manualLayout>
                  <c:x val="9.1317519634428343E-2"/>
                  <c:y val="3.351533107184616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A20843A4-E23F-4413-95ED-A7D5D7CE4B94}" type="CATEGORYNAME">
                      <a:rPr lang="ru-RU"/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
9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62438028579762"/>
                      <c:h val="0.3604020465183787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2.3243611981148948E-2"/>
                  <c:y val="0.1718357672251321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b="0" i="0" u="none" strike="noStrike" baseline="0">
                        <a:effectLst/>
                      </a:rPr>
                      <a:t>Теплогенерирующие установки и тепловые сети</a:t>
                    </a:r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 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60842673588146956"/>
                      <c:h val="0.1983535097760356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9724038229727059E-2"/>
                  <c:y val="-9.736137684892191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6EE0C992-1AD4-4CBD-A5C3-141B892ADCC8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14 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338913020447077"/>
                      <c:h val="0.2745327102803738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4150583791922991"/>
                  <c:y val="-0.14983917133815064"/>
                </c:manualLayout>
              </c:layout>
              <c:tx>
                <c:rich>
                  <a:bodyPr/>
                  <a:lstStyle/>
                  <a:p>
                    <a:fld id="{46B2735B-CC74-4552-A3D8-AB5B02ED72A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0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15002632991002907"/>
                  <c:y val="1.283172936716243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414E123D-2F8C-470E-BF69-5EE34DE2E212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8050713153724"/>
                      <c:h val="0.2331961591220850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Электроустановки потребителей</c:v>
                </c:pt>
                <c:pt idx="1">
                  <c:v>Теплогенерирующие установки и тепловые сети</c:v>
                </c:pt>
                <c:pt idx="2">
                  <c:v>Электрические сети</c:v>
                </c:pt>
                <c:pt idx="3">
                  <c:v>ГТС</c:v>
                </c:pt>
                <c:pt idx="4">
                  <c:v>Тепловые электростанции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9</c:v>
                </c:pt>
                <c:pt idx="1">
                  <c:v>1</c:v>
                </c:pt>
                <c:pt idx="2">
                  <c:v>14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solidFill>
            <a:sysClr val="window" lastClr="FFFFFF">
              <a:lumMod val="95000"/>
            </a:sysClr>
          </a:solidFill>
        </a:ln>
      </c:spPr>
    </c:plotArea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/>
            </a:pPr>
            <a:r>
              <a:rPr lang="ru-RU" sz="1200" b="0" i="0"/>
              <a:t>Рис. 3. Распределение несчастных случаев по территориальным органам Ростехнадзора</a:t>
            </a:r>
          </a:p>
        </c:rich>
      </c:tx>
      <c:layout>
        <c:manualLayout>
          <c:xMode val="edge"/>
          <c:yMode val="edge"/>
          <c:x val="0.14749753937007876"/>
          <c:y val="0.87309792158333155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9.3805774278215223E-2"/>
          <c:y val="5.4914416624949759E-2"/>
          <c:w val="0.89705218040405499"/>
          <c:h val="0.4220584191681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2024</c:v>
                </c:pt>
              </c:strCache>
            </c:strRef>
          </c:tx>
          <c:spPr>
            <a:gradFill flip="none" rotWithShape="1">
              <a:gsLst>
                <a:gs pos="0">
                  <a:srgbClr val="00B0F0">
                    <a:shade val="30000"/>
                    <a:satMod val="115000"/>
                  </a:srgbClr>
                </a:gs>
                <a:gs pos="50000">
                  <a:srgbClr val="00B0F0">
                    <a:shade val="67500"/>
                    <a:satMod val="115000"/>
                  </a:srgbClr>
                </a:gs>
                <a:gs pos="100000">
                  <a:srgbClr val="00B0F0">
                    <a:shade val="100000"/>
                    <a:satMod val="115000"/>
                  </a:srgbClr>
                </a:gs>
              </a:gsLst>
              <a:path path="circle">
                <a:fillToRect l="100000" b="100000"/>
              </a:path>
              <a:tileRect t="-100000" r="-100000"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4"/>
              <c:layout>
                <c:manualLayout>
                  <c:x val="6.2066098761863013E-6"/>
                  <c:y val="2.0424836601307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2208398133748845E-3"/>
                  <c:y val="3.33333333333333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Лист1!$B$3:$B$29</c:f>
              <c:numCache>
                <c:formatCode>0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4">
                  <c:v>3</c:v>
                </c:pt>
                <c:pt idx="15">
                  <c:v>2</c:v>
                </c:pt>
                <c:pt idx="18">
                  <c:v>1</c:v>
                </c:pt>
                <c:pt idx="22">
                  <c:v>1</c:v>
                </c:pt>
                <c:pt idx="23">
                  <c:v>1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6C-416B-9FEB-518218267CED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2025</c:v>
                </c:pt>
              </c:strCache>
            </c:strRef>
          </c:tx>
          <c:spPr>
            <a:gradFill flip="none" rotWithShape="1">
              <a:gsLst>
                <a:gs pos="0">
                  <a:srgbClr val="FF0000">
                    <a:shade val="30000"/>
                    <a:satMod val="115000"/>
                  </a:srgbClr>
                </a:gs>
                <a:gs pos="50000">
                  <a:srgbClr val="FF0000">
                    <a:shade val="67500"/>
                    <a:satMod val="115000"/>
                  </a:srgbClr>
                </a:gs>
                <a:gs pos="100000">
                  <a:srgbClr val="FF0000">
                    <a:shade val="100000"/>
                    <a:satMod val="115000"/>
                  </a:srgbClr>
                </a:gs>
              </a:gsLst>
              <a:lin ang="10800000" scaled="1"/>
              <a:tileRect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3"/>
              <c:layout>
                <c:manualLayout>
                  <c:x val="6.2453313087030915E-3"/>
                  <c:y val="8.17995910020442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5310654208659404E-7"/>
                  <c:y val="-1.0840108401084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898475822919447E-7"/>
                  <c:y val="-7.49252140152114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Лист1!$C$3:$C$29</c:f>
              <c:numCache>
                <c:formatCode>0</c:formatCode>
                <c:ptCount val="27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3</c:v>
                </c:pt>
                <c:pt idx="16">
                  <c:v>0</c:v>
                </c:pt>
                <c:pt idx="17">
                  <c:v>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6C-416B-9FEB-518218267C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overlap val="9"/>
        <c:axId val="316320776"/>
        <c:axId val="316318424"/>
      </c:barChart>
      <c:catAx>
        <c:axId val="316320776"/>
        <c:scaling>
          <c:orientation val="minMax"/>
        </c:scaling>
        <c:delete val="0"/>
        <c:axPos val="b"/>
        <c:minorGridlines/>
        <c:numFmt formatCode="General" sourceLinked="1"/>
        <c:majorTickMark val="none"/>
        <c:minorTickMark val="none"/>
        <c:tickLblPos val="low"/>
        <c:txPr>
          <a:bodyPr rot="-5400000"/>
          <a:lstStyle/>
          <a:p>
            <a:pPr>
              <a:defRPr sz="1050"/>
            </a:pPr>
            <a:endParaRPr lang="ru-RU"/>
          </a:p>
        </c:txPr>
        <c:crossAx val="316318424"/>
        <c:crosses val="autoZero"/>
        <c:auto val="1"/>
        <c:lblAlgn val="ctr"/>
        <c:lblOffset val="100"/>
        <c:tickMarkSkip val="2"/>
        <c:noMultiLvlLbl val="0"/>
      </c:catAx>
      <c:valAx>
        <c:axId val="316318424"/>
        <c:scaling>
          <c:orientation val="minMax"/>
          <c:max val="8"/>
        </c:scaling>
        <c:delete val="0"/>
        <c:axPos val="l"/>
        <c:majorGridlines>
          <c:spPr>
            <a:ln>
              <a:solidFill>
                <a:sysClr val="window" lastClr="FFFFFF">
                  <a:lumMod val="9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25400" dir="5400000" algn="ctr" rotWithShape="0">
                        <a:srgbClr val="6E747A">
                          <a:alpha val="43000"/>
                        </a:srgbClr>
                      </a:outerShdw>
                    </a:effectLst>
                  </a:defRPr>
                </a:pPr>
                <a:r>
                  <a:rPr lang="ru-RU" sz="1000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25400" dir="5400000" algn="ctr" rotWithShape="0">
                        <a:srgbClr val="6E747A">
                          <a:alpha val="43000"/>
                        </a:srgbClr>
                      </a:outerShdw>
                    </a:effectLst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1.6594160104986877E-2"/>
              <c:y val="3.2027173073953988E-2"/>
            </c:manualLayout>
          </c:layout>
          <c:overlay val="0"/>
        </c:title>
        <c:numFmt formatCode="0" sourceLinked="1"/>
        <c:majorTickMark val="none"/>
        <c:minorTickMark val="none"/>
        <c:tickLblPos val="nextTo"/>
        <c:spPr>
          <a:ln/>
        </c:spPr>
        <c:crossAx val="316320776"/>
        <c:crosses val="autoZero"/>
        <c:crossBetween val="between"/>
        <c:majorUnit val="1"/>
      </c:valAx>
    </c:plotArea>
    <c:legend>
      <c:legendPos val="b"/>
      <c:layout>
        <c:manualLayout>
          <c:xMode val="edge"/>
          <c:yMode val="edge"/>
          <c:x val="0.71879379921259845"/>
          <c:y val="7.0450616629388618E-2"/>
          <c:w val="0.23294127296587927"/>
          <c:h val="6.6666420795761183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txPr>
    <a:bodyPr/>
    <a:lstStyle/>
    <a:p>
      <a:pPr>
        <a:defRPr sz="1050" i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0.09046</cdr:x>
      <cdr:y>0.87169</cdr:y>
    </cdr:from>
    <cdr:to>
      <cdr:x>0.81386</cdr:x>
      <cdr:y>0.96918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566936" y="3155071"/>
          <a:ext cx="4533900" cy="352869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4E1C-BC12-44F4-91F3-A19D89F5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Арзамазова Алена Юрьевна</cp:lastModifiedBy>
  <cp:revision>1727</cp:revision>
  <cp:lastPrinted>2025-11-11T07:51:00Z</cp:lastPrinted>
  <dcterms:created xsi:type="dcterms:W3CDTF">2012-05-29T19:10:00Z</dcterms:created>
  <dcterms:modified xsi:type="dcterms:W3CDTF">2025-11-11T12:35:00Z</dcterms:modified>
</cp:coreProperties>
</file>